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5F" w:rsidRPr="00207C12" w:rsidRDefault="00DD345F" w:rsidP="00DD345F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95300" cy="628650"/>
            <wp:effectExtent l="19050" t="0" r="0" b="0"/>
            <wp:wrapSquare wrapText="right"/>
            <wp:docPr id="2" name="Рисунок 2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45F" w:rsidRPr="00207C12" w:rsidRDefault="00DD345F" w:rsidP="00DD345F">
      <w:pPr>
        <w:jc w:val="center"/>
        <w:rPr>
          <w:noProof/>
          <w:szCs w:val="28"/>
        </w:rPr>
      </w:pPr>
    </w:p>
    <w:p w:rsidR="00DD345F" w:rsidRPr="00207C12" w:rsidRDefault="00DD345F" w:rsidP="00DD345F">
      <w:pPr>
        <w:jc w:val="center"/>
        <w:rPr>
          <w:noProof/>
          <w:szCs w:val="28"/>
        </w:rPr>
      </w:pPr>
    </w:p>
    <w:p w:rsidR="00DD345F" w:rsidRDefault="00DD345F" w:rsidP="00DF1D7F">
      <w:pPr>
        <w:rPr>
          <w:b/>
          <w:bCs/>
          <w:szCs w:val="28"/>
        </w:rPr>
      </w:pPr>
    </w:p>
    <w:p w:rsidR="00DD345F" w:rsidRPr="00385296" w:rsidRDefault="00DD345F" w:rsidP="00DD345F">
      <w:pPr>
        <w:jc w:val="center"/>
        <w:rPr>
          <w:b/>
          <w:bCs/>
          <w:sz w:val="28"/>
          <w:szCs w:val="28"/>
        </w:rPr>
      </w:pPr>
      <w:r w:rsidRPr="00385296">
        <w:rPr>
          <w:b/>
          <w:bCs/>
          <w:sz w:val="28"/>
          <w:szCs w:val="28"/>
        </w:rPr>
        <w:t>АДМИНИСТРАЦИЯ ЛУЧЕВОГО СЕЛЬСКОГО</w:t>
      </w:r>
    </w:p>
    <w:p w:rsidR="00DD345F" w:rsidRPr="00385296" w:rsidRDefault="00DD345F" w:rsidP="00DD345F">
      <w:pPr>
        <w:jc w:val="center"/>
        <w:rPr>
          <w:b/>
          <w:bCs/>
          <w:sz w:val="28"/>
          <w:szCs w:val="28"/>
        </w:rPr>
      </w:pPr>
      <w:r w:rsidRPr="00385296">
        <w:rPr>
          <w:b/>
          <w:bCs/>
          <w:sz w:val="28"/>
          <w:szCs w:val="28"/>
        </w:rPr>
        <w:t>ПОСЕЛЕНИЯ ЛАБИНСКОГО РАЙОНА</w:t>
      </w:r>
    </w:p>
    <w:p w:rsidR="00DD345F" w:rsidRPr="00E346C9" w:rsidRDefault="00DD345F" w:rsidP="00DD345F">
      <w:pPr>
        <w:jc w:val="center"/>
        <w:rPr>
          <w:b/>
          <w:sz w:val="36"/>
          <w:szCs w:val="36"/>
        </w:rPr>
      </w:pPr>
      <w:r w:rsidRPr="00E346C9">
        <w:rPr>
          <w:b/>
          <w:sz w:val="36"/>
          <w:szCs w:val="36"/>
        </w:rPr>
        <w:t>ПОСТАНОВЛЕНИЕ</w:t>
      </w:r>
    </w:p>
    <w:p w:rsidR="002311F3" w:rsidRPr="002311F3" w:rsidRDefault="002311F3" w:rsidP="002311F3">
      <w:pPr>
        <w:autoSpaceDN w:val="0"/>
        <w:adjustRightInd w:val="0"/>
        <w:jc w:val="center"/>
        <w:rPr>
          <w:b/>
          <w:sz w:val="32"/>
          <w:szCs w:val="32"/>
        </w:rPr>
      </w:pPr>
    </w:p>
    <w:p w:rsidR="002311F3" w:rsidRDefault="00197E6A" w:rsidP="0019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1F3" w:rsidRPr="002311F3">
        <w:rPr>
          <w:sz w:val="28"/>
          <w:szCs w:val="28"/>
        </w:rPr>
        <w:t xml:space="preserve">от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2311F3" w:rsidRPr="002311F3">
        <w:rPr>
          <w:sz w:val="28"/>
          <w:szCs w:val="28"/>
        </w:rPr>
        <w:t xml:space="preserve"> № </w:t>
      </w:r>
    </w:p>
    <w:p w:rsidR="00197E6A" w:rsidRPr="002311F3" w:rsidRDefault="00197E6A" w:rsidP="00197E6A">
      <w:pPr>
        <w:jc w:val="both"/>
        <w:rPr>
          <w:sz w:val="28"/>
          <w:szCs w:val="28"/>
        </w:rPr>
      </w:pPr>
    </w:p>
    <w:p w:rsidR="002311F3" w:rsidRPr="002311F3" w:rsidRDefault="00DD345F" w:rsidP="00231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Луч</w:t>
      </w:r>
    </w:p>
    <w:p w:rsidR="002311F3" w:rsidRPr="002311F3" w:rsidRDefault="002311F3" w:rsidP="002311F3">
      <w:pPr>
        <w:rPr>
          <w:b/>
          <w:sz w:val="28"/>
          <w:szCs w:val="28"/>
        </w:rPr>
      </w:pPr>
    </w:p>
    <w:p w:rsidR="006E2B50" w:rsidRDefault="002311F3" w:rsidP="006E2B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F3">
        <w:rPr>
          <w:b/>
          <w:sz w:val="28"/>
          <w:szCs w:val="28"/>
        </w:rPr>
        <w:tab/>
      </w:r>
      <w:r w:rsidR="006E2B50">
        <w:rPr>
          <w:rFonts w:ascii="Times New Roman" w:hAnsi="Times New Roman" w:cs="Times New Roman"/>
          <w:b/>
          <w:sz w:val="28"/>
          <w:szCs w:val="28"/>
        </w:rPr>
        <w:t xml:space="preserve">Об индексации базовых окладов (базовых должностных окладов), базовых ставок заработной платы работников муниципальных учреждений </w:t>
      </w:r>
      <w:r w:rsidR="00DD345F">
        <w:rPr>
          <w:rFonts w:ascii="Times New Roman" w:hAnsi="Times New Roman" w:cs="Times New Roman"/>
          <w:b/>
          <w:sz w:val="28"/>
          <w:szCs w:val="28"/>
        </w:rPr>
        <w:t>Лучевого</w:t>
      </w:r>
      <w:r w:rsidR="006E2B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района, не перешедших на отраслевые системы оплаты труда </w:t>
      </w:r>
    </w:p>
    <w:p w:rsidR="006E2B50" w:rsidRDefault="006E2B50" w:rsidP="006E2B50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6E2B50" w:rsidRDefault="006E2B50" w:rsidP="00DD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134 Трудового кодекса Российской Федерации, п о с т а н о в л я ю:</w:t>
      </w:r>
    </w:p>
    <w:p w:rsidR="005E656F" w:rsidRPr="00773CCF" w:rsidRDefault="00F155F1" w:rsidP="00773C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Повысить с 1 января 2020 года на 3,8</w:t>
      </w:r>
      <w:r w:rsidR="006E2B50">
        <w:rPr>
          <w:rFonts w:ascii="Times New Roman" w:hAnsi="Times New Roman" w:cs="Times New Roman"/>
          <w:sz w:val="28"/>
          <w:szCs w:val="28"/>
        </w:rPr>
        <w:t xml:space="preserve"> процентов базовые оклады (базовые должностные оклады), базовые ставки заработной платы работников муниципальных учреждений </w:t>
      </w:r>
      <w:r w:rsidR="00DD345F">
        <w:rPr>
          <w:rFonts w:ascii="Times New Roman" w:hAnsi="Times New Roman" w:cs="Times New Roman"/>
          <w:sz w:val="28"/>
          <w:szCs w:val="28"/>
        </w:rPr>
        <w:t>Лучевого</w:t>
      </w:r>
      <w:r w:rsidR="006E2B50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не перешедших на отраслевые системы оплаты труда,  установленные</w:t>
      </w:r>
      <w:r w:rsidR="00773CCF">
        <w:rPr>
          <w:rFonts w:ascii="Times New Roman" w:hAnsi="Times New Roman" w:cs="Times New Roman"/>
          <w:sz w:val="28"/>
          <w:szCs w:val="28"/>
        </w:rPr>
        <w:t xml:space="preserve"> </w:t>
      </w:r>
      <w:r w:rsidR="005E656F" w:rsidRPr="00773C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постановлением администрации </w:t>
      </w:r>
      <w:r w:rsidR="005E656F" w:rsidRPr="00773CCF">
        <w:rPr>
          <w:rFonts w:ascii="Times New Roman" w:hAnsi="Times New Roman" w:cs="Times New Roman"/>
          <w:sz w:val="28"/>
          <w:szCs w:val="28"/>
        </w:rPr>
        <w:t>Лучевого</w:t>
      </w:r>
      <w:r w:rsidR="005E656F" w:rsidRPr="00773C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Лабинского района от 20 ноября 2009 года № 48 "Об оплате труда работников муниципального казенного учреждения "Центр хозяйственно-транспортного обеспечения деятельности органов местного самоуправления </w:t>
      </w:r>
      <w:r w:rsidR="005E656F" w:rsidRPr="00773CCF">
        <w:rPr>
          <w:rFonts w:ascii="Times New Roman" w:hAnsi="Times New Roman" w:cs="Times New Roman"/>
          <w:sz w:val="28"/>
          <w:szCs w:val="28"/>
        </w:rPr>
        <w:t>Лучевого</w:t>
      </w:r>
      <w:r w:rsidR="005E656F" w:rsidRPr="00773C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Лабинского района"</w:t>
      </w:r>
      <w:r w:rsidR="00DF1D7F" w:rsidRPr="00773CC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E2B50" w:rsidRDefault="006E2B50" w:rsidP="00DD34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подлежат округлению размеры базовых окладов (базовых должностных окладов),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должностным окладам), базовым ставкам заработной платы, установленным по профессиональным квалификационным группам, до целого рубля в сторону увеличения.</w:t>
      </w:r>
    </w:p>
    <w:p w:rsidR="006E2B50" w:rsidRDefault="006E2B50" w:rsidP="00DD34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расходов, связанных с реализацией настоящего постановления, осуществлять в пределах средств, предусмотренных в бюджете </w:t>
      </w:r>
      <w:r w:rsidR="00DD345F">
        <w:rPr>
          <w:sz w:val="28"/>
          <w:szCs w:val="28"/>
        </w:rPr>
        <w:t>Лучевого</w:t>
      </w:r>
      <w:r>
        <w:rPr>
          <w:sz w:val="28"/>
          <w:szCs w:val="28"/>
        </w:rPr>
        <w:t xml:space="preserve"> сельского поселения Лабинского района на соответствующий финансовый год. </w:t>
      </w:r>
    </w:p>
    <w:p w:rsidR="00DF1D7F" w:rsidRPr="00DF1D7F" w:rsidRDefault="006E2B50" w:rsidP="00DF1D7F">
      <w:pPr>
        <w:ind w:firstLine="709"/>
        <w:jc w:val="both"/>
        <w:rPr>
          <w:sz w:val="28"/>
          <w:szCs w:val="28"/>
        </w:rPr>
      </w:pPr>
      <w:r w:rsidRPr="006E2B50">
        <w:rPr>
          <w:sz w:val="28"/>
          <w:szCs w:val="28"/>
        </w:rPr>
        <w:t>4.</w:t>
      </w:r>
      <w:r w:rsidR="00DD345F">
        <w:rPr>
          <w:sz w:val="28"/>
          <w:szCs w:val="28"/>
        </w:rPr>
        <w:t xml:space="preserve"> </w:t>
      </w:r>
      <w:r w:rsidR="00DF1D7F" w:rsidRPr="00DF1D7F">
        <w:rPr>
          <w:sz w:val="28"/>
          <w:szCs w:val="28"/>
        </w:rPr>
        <w:t>Ведущему специалисту  администрации Лучевого сельского поселения Лабинского района Е.В.Соколовой опубликовать настоящее постановление 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r w:rsidR="00DF1D7F" w:rsidRPr="00DF1D7F">
        <w:rPr>
          <w:sz w:val="28"/>
          <w:szCs w:val="28"/>
          <w:lang w:val="en-US"/>
        </w:rPr>
        <w:t>luchevoesp</w:t>
      </w:r>
      <w:r w:rsidR="00DF1D7F" w:rsidRPr="00DF1D7F">
        <w:rPr>
          <w:sz w:val="28"/>
          <w:szCs w:val="28"/>
        </w:rPr>
        <w:t>.ru в информационно-телекоммуникационной сети "Интернет":</w:t>
      </w:r>
    </w:p>
    <w:p w:rsidR="006E2B50" w:rsidRPr="00DF1D7F" w:rsidRDefault="006E2B50" w:rsidP="00DF1D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7F">
        <w:rPr>
          <w:rFonts w:ascii="Times New Roman" w:hAnsi="Times New Roman" w:cs="Times New Roman"/>
          <w:sz w:val="28"/>
          <w:szCs w:val="28"/>
        </w:rPr>
        <w:lastRenderedPageBreak/>
        <w:t>5. Контроль за выполнением настоящего постановления оставляю за собой.</w:t>
      </w:r>
    </w:p>
    <w:p w:rsidR="006E2B50" w:rsidRPr="00DF1D7F" w:rsidRDefault="006E2B50" w:rsidP="00DD34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1D7F">
        <w:rPr>
          <w:sz w:val="28"/>
          <w:szCs w:val="28"/>
        </w:rPr>
        <w:t>6. Постановление</w:t>
      </w:r>
      <w:r w:rsidR="00DF1D7F">
        <w:rPr>
          <w:sz w:val="28"/>
          <w:szCs w:val="28"/>
        </w:rPr>
        <w:t xml:space="preserve"> вс</w:t>
      </w:r>
      <w:r w:rsidR="00F155F1">
        <w:rPr>
          <w:sz w:val="28"/>
          <w:szCs w:val="28"/>
        </w:rPr>
        <w:t>тупает в силу с 1 января 2020</w:t>
      </w:r>
      <w:r w:rsidRPr="00DF1D7F">
        <w:rPr>
          <w:sz w:val="28"/>
          <w:szCs w:val="28"/>
        </w:rPr>
        <w:t xml:space="preserve"> года.</w:t>
      </w:r>
    </w:p>
    <w:p w:rsidR="002133D7" w:rsidRPr="002133D7" w:rsidRDefault="002133D7" w:rsidP="00213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1F3" w:rsidRPr="002133D7" w:rsidRDefault="002311F3" w:rsidP="002133D7">
      <w:pPr>
        <w:jc w:val="both"/>
        <w:rPr>
          <w:szCs w:val="28"/>
        </w:rPr>
      </w:pPr>
    </w:p>
    <w:p w:rsidR="002311F3" w:rsidRP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Глава администрации </w:t>
      </w:r>
    </w:p>
    <w:p w:rsidR="00DD345F" w:rsidRDefault="00DD345F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Лучевого</w:t>
      </w:r>
      <w:r w:rsidR="002311F3" w:rsidRPr="002311F3">
        <w:rPr>
          <w:sz w:val="28"/>
          <w:szCs w:val="28"/>
        </w:rPr>
        <w:t xml:space="preserve"> сельского поселения </w:t>
      </w:r>
    </w:p>
    <w:p w:rsid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Лабинского района                 </w:t>
      </w:r>
      <w:r w:rsidR="00DD345F">
        <w:rPr>
          <w:sz w:val="28"/>
          <w:szCs w:val="28"/>
        </w:rPr>
        <w:t xml:space="preserve">                                                     </w:t>
      </w:r>
      <w:r w:rsidRPr="002311F3">
        <w:rPr>
          <w:sz w:val="28"/>
          <w:szCs w:val="28"/>
        </w:rPr>
        <w:t>В.</w:t>
      </w:r>
      <w:r w:rsidR="00DD345F">
        <w:rPr>
          <w:sz w:val="28"/>
          <w:szCs w:val="28"/>
        </w:rPr>
        <w:t>В. Водянников</w:t>
      </w:r>
    </w:p>
    <w:p w:rsidR="002133D7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133D7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133D7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33D7" w:rsidSect="00DD345F">
      <w:headerReference w:type="default" r:id="rId9"/>
      <w:headerReference w:type="first" r:id="rId10"/>
      <w:pgSz w:w="11906" w:h="16838" w:code="9"/>
      <w:pgMar w:top="709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66" w:rsidRDefault="002E6866" w:rsidP="002311F3">
      <w:r>
        <w:separator/>
      </w:r>
    </w:p>
  </w:endnote>
  <w:endnote w:type="continuationSeparator" w:id="0">
    <w:p w:rsidR="002E6866" w:rsidRDefault="002E6866" w:rsidP="0023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66" w:rsidRDefault="002E6866" w:rsidP="002311F3">
      <w:r>
        <w:separator/>
      </w:r>
    </w:p>
  </w:footnote>
  <w:footnote w:type="continuationSeparator" w:id="0">
    <w:p w:rsidR="002E6866" w:rsidRDefault="002E6866" w:rsidP="0023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551EF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51A"/>
    <w:rsid w:val="00011D5A"/>
    <w:rsid w:val="000E07AA"/>
    <w:rsid w:val="00197E6A"/>
    <w:rsid w:val="001C3DEB"/>
    <w:rsid w:val="002133D7"/>
    <w:rsid w:val="002311F3"/>
    <w:rsid w:val="002506B5"/>
    <w:rsid w:val="0026439F"/>
    <w:rsid w:val="00284BC7"/>
    <w:rsid w:val="002B0E7F"/>
    <w:rsid w:val="002D2FBB"/>
    <w:rsid w:val="002E6866"/>
    <w:rsid w:val="002F6FC0"/>
    <w:rsid w:val="00347B2D"/>
    <w:rsid w:val="00383BF5"/>
    <w:rsid w:val="003D50FD"/>
    <w:rsid w:val="004235AF"/>
    <w:rsid w:val="00426CF0"/>
    <w:rsid w:val="00471ADA"/>
    <w:rsid w:val="004A71CC"/>
    <w:rsid w:val="004F6380"/>
    <w:rsid w:val="00533ED9"/>
    <w:rsid w:val="00566585"/>
    <w:rsid w:val="005B4599"/>
    <w:rsid w:val="005E656F"/>
    <w:rsid w:val="005F62E0"/>
    <w:rsid w:val="00620ED7"/>
    <w:rsid w:val="00663103"/>
    <w:rsid w:val="006D6A7A"/>
    <w:rsid w:val="006E2B50"/>
    <w:rsid w:val="00773CCF"/>
    <w:rsid w:val="00813D34"/>
    <w:rsid w:val="008F1372"/>
    <w:rsid w:val="00913921"/>
    <w:rsid w:val="009930CA"/>
    <w:rsid w:val="00A10FED"/>
    <w:rsid w:val="00AD74E5"/>
    <w:rsid w:val="00AF7696"/>
    <w:rsid w:val="00BB1748"/>
    <w:rsid w:val="00BC21AC"/>
    <w:rsid w:val="00C217BF"/>
    <w:rsid w:val="00C36459"/>
    <w:rsid w:val="00C96A23"/>
    <w:rsid w:val="00CA32C9"/>
    <w:rsid w:val="00DA398C"/>
    <w:rsid w:val="00DD345F"/>
    <w:rsid w:val="00DF1D7F"/>
    <w:rsid w:val="00E2615C"/>
    <w:rsid w:val="00E507E2"/>
    <w:rsid w:val="00E62170"/>
    <w:rsid w:val="00E82651"/>
    <w:rsid w:val="00E97703"/>
    <w:rsid w:val="00ED151A"/>
    <w:rsid w:val="00F1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0483-EE07-4D4F-95A8-41864D9D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17</cp:revision>
  <cp:lastPrinted>2018-12-17T11:10:00Z</cp:lastPrinted>
  <dcterms:created xsi:type="dcterms:W3CDTF">2017-11-08T12:02:00Z</dcterms:created>
  <dcterms:modified xsi:type="dcterms:W3CDTF">2019-12-17T13:46:00Z</dcterms:modified>
</cp:coreProperties>
</file>